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1992" w14:textId="3BB79010" w:rsidR="00C27B5B" w:rsidRPr="00AC1D22" w:rsidRDefault="00B96C29" w:rsidP="00C27B5B">
      <w:pPr>
        <w:widowControl w:val="0"/>
        <w:jc w:val="both"/>
        <w:rPr>
          <w:snapToGrid w:val="0"/>
          <w:sz w:val="24"/>
          <w:szCs w:val="24"/>
        </w:rPr>
      </w:pPr>
      <w:r w:rsidRPr="00AC1D22">
        <w:rPr>
          <w:snapToGrid w:val="0"/>
          <w:sz w:val="24"/>
          <w:szCs w:val="24"/>
        </w:rPr>
        <w:t>The Directors of the Plum Creek</w:t>
      </w:r>
      <w:r w:rsidR="00C27B5B" w:rsidRPr="00AC1D22">
        <w:rPr>
          <w:snapToGrid w:val="0"/>
          <w:sz w:val="24"/>
          <w:szCs w:val="24"/>
        </w:rPr>
        <w:t xml:space="preserve"> Conservation District will meet i</w:t>
      </w:r>
      <w:r w:rsidRPr="00AC1D22">
        <w:rPr>
          <w:snapToGrid w:val="0"/>
          <w:sz w:val="24"/>
          <w:szCs w:val="24"/>
        </w:rPr>
        <w:t xml:space="preserve">n a public session on </w:t>
      </w:r>
      <w:r w:rsidR="00A25C61" w:rsidRPr="00AC1D22">
        <w:rPr>
          <w:snapToGrid w:val="0"/>
          <w:sz w:val="24"/>
          <w:szCs w:val="24"/>
        </w:rPr>
        <w:t xml:space="preserve">June 21, </w:t>
      </w:r>
      <w:proofErr w:type="gramStart"/>
      <w:r w:rsidR="00A25C61" w:rsidRPr="00AC1D22">
        <w:rPr>
          <w:snapToGrid w:val="0"/>
          <w:sz w:val="24"/>
          <w:szCs w:val="24"/>
        </w:rPr>
        <w:t>2022</w:t>
      </w:r>
      <w:proofErr w:type="gramEnd"/>
      <w:r w:rsidR="00A25C61" w:rsidRPr="00AC1D22">
        <w:rPr>
          <w:snapToGrid w:val="0"/>
          <w:sz w:val="24"/>
          <w:szCs w:val="24"/>
        </w:rPr>
        <w:t xml:space="preserve"> </w:t>
      </w:r>
      <w:r w:rsidRPr="00AC1D22">
        <w:rPr>
          <w:snapToGrid w:val="0"/>
          <w:sz w:val="24"/>
          <w:szCs w:val="24"/>
        </w:rPr>
        <w:t>at 1:00</w:t>
      </w:r>
      <w:r w:rsidR="00C27B5B" w:rsidRPr="00AC1D22">
        <w:rPr>
          <w:snapToGrid w:val="0"/>
          <w:sz w:val="24"/>
          <w:szCs w:val="24"/>
        </w:rPr>
        <w:t xml:space="preserve"> p.m. at the </w:t>
      </w:r>
      <w:r w:rsidRPr="00AC1D22">
        <w:rPr>
          <w:snapToGrid w:val="0"/>
          <w:sz w:val="24"/>
          <w:szCs w:val="24"/>
        </w:rPr>
        <w:t>offices of PCCD, 1101 W. San Antonio St., Lockhart</w:t>
      </w:r>
      <w:r w:rsidR="00C27B5B" w:rsidRPr="00AC1D22">
        <w:rPr>
          <w:snapToGrid w:val="0"/>
          <w:sz w:val="24"/>
          <w:szCs w:val="24"/>
        </w:rPr>
        <w:t>, Texas.</w:t>
      </w:r>
    </w:p>
    <w:p w14:paraId="42AAD712" w14:textId="77777777" w:rsidR="00C27B5B" w:rsidRPr="00AC1D22" w:rsidRDefault="00C27B5B" w:rsidP="00C27B5B">
      <w:pPr>
        <w:widowControl w:val="0"/>
        <w:rPr>
          <w:snapToGrid w:val="0"/>
          <w:sz w:val="24"/>
          <w:szCs w:val="24"/>
        </w:rPr>
      </w:pPr>
    </w:p>
    <w:p w14:paraId="2F09AFFF" w14:textId="77777777" w:rsidR="00C27B5B" w:rsidRPr="00AC1D22" w:rsidRDefault="00C27B5B" w:rsidP="00C27B5B">
      <w:pPr>
        <w:widowControl w:val="0"/>
        <w:rPr>
          <w:b/>
          <w:snapToGrid w:val="0"/>
          <w:sz w:val="24"/>
          <w:szCs w:val="24"/>
        </w:rPr>
      </w:pPr>
      <w:r w:rsidRPr="00AC1D22">
        <w:rPr>
          <w:b/>
          <w:color w:val="000000"/>
          <w:sz w:val="24"/>
          <w:szCs w:val="24"/>
        </w:rPr>
        <w:t xml:space="preserve">The Directors will discuss and possibly </w:t>
      </w:r>
      <w:proofErr w:type="gramStart"/>
      <w:r w:rsidRPr="00AC1D22">
        <w:rPr>
          <w:b/>
          <w:color w:val="000000"/>
          <w:sz w:val="24"/>
          <w:szCs w:val="24"/>
        </w:rPr>
        <w:t>take action</w:t>
      </w:r>
      <w:proofErr w:type="gramEnd"/>
      <w:r w:rsidRPr="00AC1D22">
        <w:rPr>
          <w:b/>
          <w:color w:val="000000"/>
          <w:sz w:val="24"/>
          <w:szCs w:val="24"/>
        </w:rPr>
        <w:t xml:space="preserve"> on the Groundwater Management Area 13 Proposed Desired Future Conditions and Relevant Aquifer Designations as listed below.</w:t>
      </w:r>
    </w:p>
    <w:p w14:paraId="21B1970A" w14:textId="77777777" w:rsidR="00C27B5B" w:rsidRPr="00AC1D22" w:rsidRDefault="00C27B5B" w:rsidP="00C27B5B">
      <w:pPr>
        <w:rPr>
          <w:sz w:val="24"/>
          <w:szCs w:val="24"/>
        </w:rPr>
      </w:pPr>
    </w:p>
    <w:p w14:paraId="693DB769" w14:textId="53E38CB6" w:rsidR="00A25C61" w:rsidRPr="00AC1D22" w:rsidRDefault="00AC1D22" w:rsidP="0055536E">
      <w:pPr>
        <w:pStyle w:val="BodyText"/>
        <w:numPr>
          <w:ilvl w:val="0"/>
          <w:numId w:val="6"/>
        </w:numPr>
        <w:ind w:right="-15"/>
        <w:jc w:val="both"/>
      </w:pPr>
      <w:r w:rsidRPr="00AC1D22">
        <w:t xml:space="preserve"> </w:t>
      </w:r>
      <w:proofErr w:type="gramStart"/>
      <w:r w:rsidR="00A25C61" w:rsidRPr="00AC1D22">
        <w:rPr>
          <w:b/>
          <w:bCs/>
        </w:rPr>
        <w:t>WHEREAS</w:t>
      </w:r>
      <w:r w:rsidR="00A25C61" w:rsidRPr="00AC1D22">
        <w:t>,</w:t>
      </w:r>
      <w:proofErr w:type="gramEnd"/>
      <w:r w:rsidR="00A25C61" w:rsidRPr="00AC1D22">
        <w:t xml:space="preserve"> the two desired future conditions for the Carrizo-Wilcox, Queen City, and Sparta Aquifers adopted are:</w:t>
      </w:r>
    </w:p>
    <w:p w14:paraId="4AF9645B" w14:textId="77777777" w:rsidR="00AC1D22" w:rsidRPr="00AC1D22" w:rsidRDefault="00AC1D22" w:rsidP="00AC1D22">
      <w:pPr>
        <w:pStyle w:val="BodyText"/>
        <w:ind w:left="1087" w:right="-15"/>
        <w:jc w:val="both"/>
      </w:pPr>
    </w:p>
    <w:p w14:paraId="7E9A6F8D" w14:textId="77777777" w:rsidR="00AC1D22" w:rsidRDefault="00A25C61" w:rsidP="00AC1D22">
      <w:pPr>
        <w:pStyle w:val="ListParagraph"/>
        <w:numPr>
          <w:ilvl w:val="0"/>
          <w:numId w:val="4"/>
        </w:numPr>
        <w:spacing w:after="160" w:line="256" w:lineRule="auto"/>
        <w:rPr>
          <w:sz w:val="24"/>
          <w:szCs w:val="24"/>
        </w:rPr>
      </w:pPr>
      <w:r w:rsidRPr="00AC1D22">
        <w:rPr>
          <w:sz w:val="24"/>
          <w:szCs w:val="24"/>
        </w:rPr>
        <w:t xml:space="preserve">The first desired future condition for the Carrizo-Wilcox/Queen City/Sparta Aquifers in Groundwater Management Area 13 is that 75 percent of the saturated thickness in the outcrop at the end of 2012 remains in 2080. </w:t>
      </w:r>
    </w:p>
    <w:p w14:paraId="6B15340B" w14:textId="029B683F" w:rsidR="00C27B5B" w:rsidRPr="00AC1D22" w:rsidRDefault="00AC1D22" w:rsidP="00AC1D22">
      <w:pPr>
        <w:pStyle w:val="ListParagraph"/>
        <w:numPr>
          <w:ilvl w:val="0"/>
          <w:numId w:val="4"/>
        </w:numPr>
        <w:spacing w:after="160" w:line="256" w:lineRule="auto"/>
        <w:rPr>
          <w:sz w:val="24"/>
          <w:szCs w:val="24"/>
        </w:rPr>
      </w:pPr>
      <w:r>
        <w:rPr>
          <w:sz w:val="24"/>
          <w:szCs w:val="24"/>
        </w:rPr>
        <w:t>A</w:t>
      </w:r>
      <w:r w:rsidR="00A25C61" w:rsidRPr="00AC1D22">
        <w:rPr>
          <w:sz w:val="24"/>
          <w:szCs w:val="24"/>
        </w:rPr>
        <w:t xml:space="preserve"> secondary desired future condition for the Carrizo-Wilcox/Queen City/Sparta Aquifers in Groundwater Management Area 13 is an average drawdown of 49 feet (+/- 5 feet) for all of GMA 13. The drawdown is calculated from the end of 2012 conditions through the year 2080. </w:t>
      </w:r>
    </w:p>
    <w:p w14:paraId="00D4E9AB" w14:textId="77777777" w:rsidR="00AC1D22" w:rsidRDefault="00AC1D22" w:rsidP="00A25C61">
      <w:pPr>
        <w:pStyle w:val="ListParagraph"/>
        <w:ind w:left="0"/>
        <w:rPr>
          <w:b/>
          <w:bCs/>
          <w:sz w:val="24"/>
          <w:szCs w:val="24"/>
        </w:rPr>
      </w:pPr>
    </w:p>
    <w:p w14:paraId="16B3C837" w14:textId="20B611DC" w:rsidR="00A25C61" w:rsidRDefault="00AC1D22" w:rsidP="00AC1D22">
      <w:pPr>
        <w:pStyle w:val="ListParagraph"/>
        <w:numPr>
          <w:ilvl w:val="0"/>
          <w:numId w:val="6"/>
        </w:numPr>
        <w:rPr>
          <w:sz w:val="24"/>
          <w:szCs w:val="24"/>
        </w:rPr>
      </w:pPr>
      <w:r>
        <w:rPr>
          <w:b/>
          <w:bCs/>
          <w:sz w:val="24"/>
          <w:szCs w:val="24"/>
        </w:rPr>
        <w:t xml:space="preserve"> </w:t>
      </w:r>
      <w:proofErr w:type="gramStart"/>
      <w:r w:rsidR="00A25C61" w:rsidRPr="00AC1D22">
        <w:rPr>
          <w:b/>
          <w:bCs/>
          <w:sz w:val="24"/>
          <w:szCs w:val="24"/>
        </w:rPr>
        <w:t>WHEREAS</w:t>
      </w:r>
      <w:r w:rsidR="00A25C61" w:rsidRPr="00AC1D22">
        <w:rPr>
          <w:sz w:val="24"/>
          <w:szCs w:val="24"/>
        </w:rPr>
        <w:t>,</w:t>
      </w:r>
      <w:proofErr w:type="gramEnd"/>
      <w:r w:rsidR="00A25C61" w:rsidRPr="00AC1D22">
        <w:rPr>
          <w:b/>
          <w:bCs/>
          <w:sz w:val="24"/>
          <w:szCs w:val="24"/>
        </w:rPr>
        <w:t xml:space="preserve"> </w:t>
      </w:r>
      <w:r w:rsidR="00A25C61" w:rsidRPr="00AC1D22">
        <w:rPr>
          <w:sz w:val="24"/>
          <w:szCs w:val="24"/>
        </w:rPr>
        <w:t>The desired future conditions for the Yegua-Jackson Aquifer in Groundwater Management Area 13:</w:t>
      </w:r>
    </w:p>
    <w:p w14:paraId="03D7F792" w14:textId="77777777" w:rsidR="00AC1D22" w:rsidRPr="00AC1D22" w:rsidRDefault="00AC1D22" w:rsidP="00AC1D22">
      <w:pPr>
        <w:pStyle w:val="ListParagraph"/>
        <w:ind w:left="1087"/>
        <w:rPr>
          <w:sz w:val="24"/>
          <w:szCs w:val="24"/>
        </w:rPr>
      </w:pPr>
    </w:p>
    <w:p w14:paraId="5424A59B" w14:textId="1EFAD909" w:rsidR="00A25C61" w:rsidRPr="00AC1D22" w:rsidRDefault="00A25C61" w:rsidP="0097612D">
      <w:pPr>
        <w:pStyle w:val="ListParagraph"/>
        <w:widowControl w:val="0"/>
        <w:numPr>
          <w:ilvl w:val="0"/>
          <w:numId w:val="8"/>
        </w:numPr>
        <w:tabs>
          <w:tab w:val="left" w:pos="828"/>
        </w:tabs>
        <w:ind w:right="810"/>
        <w:rPr>
          <w:sz w:val="24"/>
          <w:szCs w:val="24"/>
        </w:rPr>
      </w:pPr>
      <w:r w:rsidRPr="00AC1D22">
        <w:rPr>
          <w:sz w:val="24"/>
          <w:szCs w:val="24"/>
        </w:rPr>
        <w:t>For Gonzales County, the average drawdown from end of 2010 through 2080 is 3 feet (+/- 1 foot).</w:t>
      </w:r>
    </w:p>
    <w:p w14:paraId="1CF206A6" w14:textId="1864DED4" w:rsidR="00A25C61" w:rsidRPr="00AC1D22" w:rsidRDefault="00A25C61" w:rsidP="0097612D">
      <w:pPr>
        <w:pStyle w:val="ListParagraph"/>
        <w:widowControl w:val="0"/>
        <w:numPr>
          <w:ilvl w:val="0"/>
          <w:numId w:val="8"/>
        </w:numPr>
        <w:tabs>
          <w:tab w:val="left" w:pos="828"/>
        </w:tabs>
        <w:ind w:right="1445"/>
        <w:rPr>
          <w:sz w:val="24"/>
          <w:szCs w:val="24"/>
        </w:rPr>
      </w:pPr>
      <w:r w:rsidRPr="00AC1D22">
        <w:rPr>
          <w:sz w:val="24"/>
          <w:szCs w:val="24"/>
        </w:rPr>
        <w:t xml:space="preserve">For Karnes County, the average drawdown from end of 2010 through 2080 is </w:t>
      </w:r>
      <w:proofErr w:type="gramStart"/>
      <w:r w:rsidRPr="00AC1D22">
        <w:rPr>
          <w:sz w:val="24"/>
          <w:szCs w:val="24"/>
        </w:rPr>
        <w:t>one  foot</w:t>
      </w:r>
      <w:proofErr w:type="gramEnd"/>
      <w:r w:rsidRPr="00AC1D22">
        <w:rPr>
          <w:sz w:val="24"/>
          <w:szCs w:val="24"/>
        </w:rPr>
        <w:t xml:space="preserve"> (+/- 1 foot).</w:t>
      </w:r>
    </w:p>
    <w:p w14:paraId="0BF5D1E5" w14:textId="56ED2566" w:rsidR="00A25C61" w:rsidRPr="00AC1D22" w:rsidRDefault="00A25C61" w:rsidP="0097612D">
      <w:pPr>
        <w:pStyle w:val="ListParagraph"/>
        <w:widowControl w:val="0"/>
        <w:numPr>
          <w:ilvl w:val="0"/>
          <w:numId w:val="8"/>
        </w:numPr>
        <w:tabs>
          <w:tab w:val="left" w:pos="828"/>
        </w:tabs>
        <w:ind w:right="1445"/>
        <w:rPr>
          <w:sz w:val="24"/>
          <w:szCs w:val="24"/>
        </w:rPr>
      </w:pPr>
      <w:r w:rsidRPr="00AC1D22">
        <w:rPr>
          <w:sz w:val="24"/>
          <w:szCs w:val="24"/>
        </w:rPr>
        <w:t xml:space="preserve">For all other counties in </w:t>
      </w:r>
      <w:r w:rsidRPr="00AC1D22">
        <w:rPr>
          <w:color w:val="1F1F21"/>
          <w:sz w:val="24"/>
          <w:szCs w:val="24"/>
        </w:rPr>
        <w:t>Groundwater Management Area</w:t>
      </w:r>
      <w:r w:rsidRPr="00AC1D22">
        <w:rPr>
          <w:sz w:val="24"/>
          <w:szCs w:val="24"/>
        </w:rPr>
        <w:t xml:space="preserve"> 13, the Yegua-Jackson is classified as not relevant for purposes of joint planning.</w:t>
      </w:r>
    </w:p>
    <w:p w14:paraId="12114154" w14:textId="77777777" w:rsidR="00C27B5B" w:rsidRPr="00AC1D22" w:rsidRDefault="00C27B5B" w:rsidP="0097612D">
      <w:pPr>
        <w:pStyle w:val="ListParagraph"/>
        <w:numPr>
          <w:ilvl w:val="0"/>
          <w:numId w:val="8"/>
        </w:numPr>
        <w:rPr>
          <w:sz w:val="24"/>
          <w:szCs w:val="24"/>
        </w:rPr>
      </w:pPr>
      <w:r w:rsidRPr="00AC1D22">
        <w:rPr>
          <w:color w:val="1F1F21"/>
          <w:sz w:val="24"/>
          <w:szCs w:val="24"/>
        </w:rPr>
        <w:t>Declaration of non-relevant aquifers in Groundwater Management Area 13:</w:t>
      </w:r>
    </w:p>
    <w:p w14:paraId="3B03E9B0" w14:textId="77777777" w:rsidR="00C27B5B" w:rsidRPr="00DE6469" w:rsidRDefault="00C27B5B" w:rsidP="00DE6469">
      <w:pPr>
        <w:jc w:val="both"/>
        <w:rPr>
          <w:sz w:val="24"/>
          <w:szCs w:val="24"/>
        </w:rPr>
      </w:pPr>
    </w:p>
    <w:p w14:paraId="5FB1D9CF" w14:textId="681FDC6B" w:rsidR="00F9646A" w:rsidRPr="00DE6469" w:rsidRDefault="00DE6469" w:rsidP="00DE6469">
      <w:pPr>
        <w:pStyle w:val="ListParagraph"/>
        <w:numPr>
          <w:ilvl w:val="0"/>
          <w:numId w:val="6"/>
        </w:numPr>
        <w:rPr>
          <w:color w:val="1F1F21"/>
          <w:sz w:val="24"/>
          <w:szCs w:val="24"/>
        </w:rPr>
      </w:pPr>
      <w:r>
        <w:rPr>
          <w:b/>
          <w:bCs/>
          <w:sz w:val="24"/>
          <w:szCs w:val="24"/>
        </w:rPr>
        <w:t xml:space="preserve"> </w:t>
      </w:r>
      <w:proofErr w:type="gramStart"/>
      <w:r w:rsidR="00F9646A" w:rsidRPr="00DE6469">
        <w:rPr>
          <w:b/>
          <w:bCs/>
          <w:sz w:val="24"/>
          <w:szCs w:val="24"/>
        </w:rPr>
        <w:t>WHEREAS</w:t>
      </w:r>
      <w:r w:rsidR="00F9646A" w:rsidRPr="00DE6469">
        <w:rPr>
          <w:sz w:val="24"/>
          <w:szCs w:val="24"/>
        </w:rPr>
        <w:t>,</w:t>
      </w:r>
      <w:proofErr w:type="gramEnd"/>
      <w:r w:rsidR="00F9646A" w:rsidRPr="00DE6469">
        <w:rPr>
          <w:sz w:val="24"/>
          <w:szCs w:val="24"/>
        </w:rPr>
        <w:t xml:space="preserve"> </w:t>
      </w:r>
      <w:r w:rsidR="00F9646A" w:rsidRPr="00DE6469">
        <w:rPr>
          <w:color w:val="1F1F21"/>
          <w:sz w:val="24"/>
          <w:szCs w:val="24"/>
        </w:rPr>
        <w:t xml:space="preserve">Groundwater Management Area 13 </w:t>
      </w:r>
      <w:r w:rsidR="00F9646A" w:rsidRPr="00DE6469">
        <w:rPr>
          <w:sz w:val="24"/>
          <w:szCs w:val="24"/>
        </w:rPr>
        <w:t xml:space="preserve">does hereby document, record, and confirm that the Edwards (Balcones Fault Zone), Gulf Coast, and Trinity aquifers are not relevant for purposes of joint planning within </w:t>
      </w:r>
      <w:r w:rsidR="00F9646A" w:rsidRPr="00DE6469">
        <w:rPr>
          <w:color w:val="1F1F21"/>
          <w:sz w:val="24"/>
          <w:szCs w:val="24"/>
        </w:rPr>
        <w:t>Groundwater Management Area 13</w:t>
      </w:r>
      <w:r w:rsidR="00F9646A" w:rsidRPr="00DE6469">
        <w:rPr>
          <w:sz w:val="24"/>
          <w:szCs w:val="24"/>
        </w:rPr>
        <w:t xml:space="preserve"> and therefore do not require the establishment of desired future conditions by </w:t>
      </w:r>
      <w:r w:rsidR="00F9646A" w:rsidRPr="00DE6469">
        <w:rPr>
          <w:color w:val="1F1F21"/>
          <w:sz w:val="24"/>
          <w:szCs w:val="24"/>
        </w:rPr>
        <w:t>Groundwater Management Area</w:t>
      </w:r>
      <w:r w:rsidR="00F9646A" w:rsidRPr="00DE6469">
        <w:rPr>
          <w:sz w:val="24"/>
          <w:szCs w:val="24"/>
        </w:rPr>
        <w:t xml:space="preserve"> 13, nor the determination by the Texas Water Development Board of Modeled Available Groundwater for those aquifers in </w:t>
      </w:r>
      <w:r w:rsidR="00F9646A" w:rsidRPr="00DE6469">
        <w:rPr>
          <w:color w:val="1F1F21"/>
          <w:sz w:val="24"/>
          <w:szCs w:val="24"/>
        </w:rPr>
        <w:t>Groundwater Management Area</w:t>
      </w:r>
      <w:r w:rsidR="00F9646A" w:rsidRPr="00DE6469">
        <w:rPr>
          <w:sz w:val="24"/>
          <w:szCs w:val="24"/>
        </w:rPr>
        <w:t xml:space="preserve"> 13.</w:t>
      </w:r>
    </w:p>
    <w:p w14:paraId="5CD7545E" w14:textId="77777777" w:rsidR="00C27B5B" w:rsidRPr="00AC1D22" w:rsidRDefault="00C27B5B" w:rsidP="00C27B5B">
      <w:pPr>
        <w:jc w:val="both"/>
        <w:rPr>
          <w:sz w:val="24"/>
          <w:szCs w:val="24"/>
        </w:rPr>
      </w:pPr>
    </w:p>
    <w:p w14:paraId="4BCC75DC" w14:textId="77777777" w:rsidR="00C27B5B" w:rsidRPr="00AC1D22" w:rsidRDefault="00C27B5B" w:rsidP="00C27B5B">
      <w:pPr>
        <w:jc w:val="both"/>
        <w:rPr>
          <w:sz w:val="24"/>
          <w:szCs w:val="24"/>
        </w:rPr>
      </w:pPr>
      <w:r w:rsidRPr="00AC1D22">
        <w:rPr>
          <w:sz w:val="24"/>
          <w:szCs w:val="24"/>
        </w:rPr>
        <w:t>Groundwater conservation districts located wholly or partially within Groundwater Management Area 13 include:  Edwards Aquifer Authority,  Evergreen Underground Water Conservation District,  Gonzales County Underground Water Conservation District,  Guadalupe County Groundwater Conservation District,  McMullen Groundwater Conservation District,  Medina County Groundwater Conservation District, Plum Creek Conservation District, Uvalde County Underground Water Conservation District, and Wintergarden Groundwater Conservation District.</w:t>
      </w:r>
    </w:p>
    <w:p w14:paraId="7DD25F58" w14:textId="77777777" w:rsidR="00C27B5B" w:rsidRPr="00AC1D22" w:rsidRDefault="00C27B5B" w:rsidP="00C27B5B">
      <w:pPr>
        <w:jc w:val="both"/>
        <w:rPr>
          <w:sz w:val="24"/>
          <w:szCs w:val="24"/>
        </w:rPr>
      </w:pPr>
    </w:p>
    <w:p w14:paraId="0AA0BECA" w14:textId="77777777" w:rsidR="00C27B5B" w:rsidRPr="00AC1D22" w:rsidRDefault="00C27B5B" w:rsidP="00C27B5B">
      <w:pPr>
        <w:rPr>
          <w:sz w:val="24"/>
          <w:szCs w:val="24"/>
        </w:rPr>
      </w:pPr>
      <w:r w:rsidRPr="00AC1D22">
        <w:rPr>
          <w:sz w:val="24"/>
          <w:szCs w:val="24"/>
        </w:rPr>
        <w:lastRenderedPageBreak/>
        <w:t>Members of the public are invited to attend and provide oral comment, testimony, and/or submit other documentation and information relevant to the Proposed DFCs and Relevant Aquifer Designations to the Board of Directors.</w:t>
      </w:r>
    </w:p>
    <w:p w14:paraId="53C3FCC2" w14:textId="77777777" w:rsidR="00C27B5B" w:rsidRPr="00AC1D22" w:rsidRDefault="00C27B5B" w:rsidP="00C27B5B">
      <w:pPr>
        <w:rPr>
          <w:sz w:val="24"/>
          <w:szCs w:val="24"/>
        </w:rPr>
      </w:pPr>
    </w:p>
    <w:p w14:paraId="20C49338" w14:textId="77777777" w:rsidR="00C27B5B" w:rsidRPr="00AC1D22" w:rsidRDefault="00C27B5B" w:rsidP="00C27B5B">
      <w:pPr>
        <w:rPr>
          <w:sz w:val="24"/>
          <w:szCs w:val="24"/>
        </w:rPr>
      </w:pPr>
      <w:r w:rsidRPr="00AC1D22">
        <w:rPr>
          <w:sz w:val="24"/>
          <w:szCs w:val="24"/>
        </w:rPr>
        <w:t>If unable to attend the Public Meeting, members of the public are invited to submit written comments, testimony, and/or other documentation and information relevant to the Proposed DFCs and Relevant Aquifer Designations to the Board of Directors at the District Office located at:</w:t>
      </w:r>
    </w:p>
    <w:p w14:paraId="30507EAC" w14:textId="77777777" w:rsidR="00C27B5B" w:rsidRPr="00AC1D22" w:rsidRDefault="00C27B5B" w:rsidP="00C27B5B">
      <w:pPr>
        <w:rPr>
          <w:sz w:val="24"/>
          <w:szCs w:val="24"/>
        </w:rPr>
      </w:pPr>
    </w:p>
    <w:p w14:paraId="1B185039" w14:textId="77777777" w:rsidR="00C27B5B" w:rsidRPr="00AC1D22" w:rsidRDefault="002352DC" w:rsidP="00C27B5B">
      <w:pPr>
        <w:jc w:val="center"/>
        <w:rPr>
          <w:sz w:val="24"/>
          <w:szCs w:val="24"/>
        </w:rPr>
      </w:pPr>
      <w:r w:rsidRPr="00AC1D22">
        <w:rPr>
          <w:sz w:val="24"/>
          <w:szCs w:val="24"/>
        </w:rPr>
        <w:t>Plum Creek Conservation District</w:t>
      </w:r>
    </w:p>
    <w:p w14:paraId="0ECA55FB" w14:textId="77777777" w:rsidR="00C27B5B" w:rsidRPr="00AC1D22" w:rsidRDefault="00C27B5B" w:rsidP="00C27B5B">
      <w:pPr>
        <w:jc w:val="center"/>
        <w:rPr>
          <w:sz w:val="24"/>
          <w:szCs w:val="24"/>
        </w:rPr>
      </w:pPr>
      <w:r w:rsidRPr="00AC1D22">
        <w:rPr>
          <w:sz w:val="24"/>
          <w:szCs w:val="24"/>
        </w:rPr>
        <w:t>Attn:</w:t>
      </w:r>
      <w:r w:rsidR="002352DC" w:rsidRPr="00AC1D22">
        <w:rPr>
          <w:sz w:val="24"/>
          <w:szCs w:val="24"/>
        </w:rPr>
        <w:t xml:space="preserve"> Executive</w:t>
      </w:r>
      <w:r w:rsidRPr="00AC1D22">
        <w:rPr>
          <w:sz w:val="24"/>
          <w:szCs w:val="24"/>
        </w:rPr>
        <w:t xml:space="preserve"> Manager</w:t>
      </w:r>
    </w:p>
    <w:p w14:paraId="0351254D" w14:textId="77777777" w:rsidR="00C27B5B" w:rsidRPr="00AC1D22" w:rsidRDefault="002352DC" w:rsidP="00C27B5B">
      <w:pPr>
        <w:jc w:val="center"/>
        <w:rPr>
          <w:sz w:val="24"/>
          <w:szCs w:val="24"/>
        </w:rPr>
      </w:pPr>
      <w:r w:rsidRPr="00AC1D22">
        <w:rPr>
          <w:sz w:val="24"/>
          <w:szCs w:val="24"/>
        </w:rPr>
        <w:t>P.O. 328</w:t>
      </w:r>
    </w:p>
    <w:p w14:paraId="5B10A767" w14:textId="77777777" w:rsidR="00C27B5B" w:rsidRPr="00AC1D22" w:rsidRDefault="002352DC" w:rsidP="00C27B5B">
      <w:pPr>
        <w:jc w:val="center"/>
        <w:rPr>
          <w:sz w:val="24"/>
          <w:szCs w:val="24"/>
        </w:rPr>
      </w:pPr>
      <w:r w:rsidRPr="00AC1D22">
        <w:rPr>
          <w:sz w:val="24"/>
          <w:szCs w:val="24"/>
        </w:rPr>
        <w:t>1101 W. San Antonio St.</w:t>
      </w:r>
    </w:p>
    <w:p w14:paraId="28F30F9C" w14:textId="77777777" w:rsidR="00C27B5B" w:rsidRPr="00AC1D22" w:rsidRDefault="002352DC" w:rsidP="00C27B5B">
      <w:pPr>
        <w:jc w:val="center"/>
        <w:rPr>
          <w:sz w:val="24"/>
          <w:szCs w:val="24"/>
        </w:rPr>
      </w:pPr>
      <w:r w:rsidRPr="00AC1D22">
        <w:rPr>
          <w:sz w:val="24"/>
          <w:szCs w:val="24"/>
        </w:rPr>
        <w:t>Lockhart, TX 78644</w:t>
      </w:r>
    </w:p>
    <w:p w14:paraId="0FAAA173" w14:textId="7E2B0B6E" w:rsidR="00C27B5B" w:rsidRPr="00AC1D22" w:rsidRDefault="006A0D46" w:rsidP="00C27B5B">
      <w:pPr>
        <w:jc w:val="center"/>
        <w:rPr>
          <w:sz w:val="24"/>
          <w:szCs w:val="24"/>
        </w:rPr>
      </w:pPr>
      <w:hyperlink r:id="rId5" w:history="1">
        <w:r w:rsidR="00A25C61" w:rsidRPr="00AC1D22">
          <w:rPr>
            <w:rStyle w:val="Hyperlink"/>
            <w:sz w:val="24"/>
            <w:szCs w:val="24"/>
          </w:rPr>
          <w:t>daniel.meyer@pccd.org</w:t>
        </w:r>
      </w:hyperlink>
      <w:r w:rsidR="00C27B5B" w:rsidRPr="00AC1D22">
        <w:rPr>
          <w:sz w:val="24"/>
          <w:szCs w:val="24"/>
        </w:rPr>
        <w:t xml:space="preserve"> </w:t>
      </w:r>
    </w:p>
    <w:p w14:paraId="20008116" w14:textId="77777777" w:rsidR="00C27B5B" w:rsidRPr="00AC1D22" w:rsidRDefault="002352DC" w:rsidP="00C27B5B">
      <w:pPr>
        <w:jc w:val="center"/>
        <w:rPr>
          <w:sz w:val="24"/>
          <w:szCs w:val="24"/>
        </w:rPr>
      </w:pPr>
      <w:r w:rsidRPr="00AC1D22">
        <w:rPr>
          <w:sz w:val="24"/>
          <w:szCs w:val="24"/>
        </w:rPr>
        <w:t>512.398.2383</w:t>
      </w:r>
    </w:p>
    <w:p w14:paraId="4E64E755" w14:textId="77777777" w:rsidR="00C27B5B" w:rsidRPr="00AC1D22" w:rsidRDefault="00C27B5B" w:rsidP="00C27B5B">
      <w:pPr>
        <w:jc w:val="both"/>
        <w:rPr>
          <w:sz w:val="24"/>
          <w:szCs w:val="24"/>
        </w:rPr>
      </w:pPr>
    </w:p>
    <w:p w14:paraId="5F84B758" w14:textId="77777777" w:rsidR="00C27B5B" w:rsidRPr="00AC1D22" w:rsidRDefault="00C27B5B" w:rsidP="00C27B5B">
      <w:pPr>
        <w:jc w:val="both"/>
        <w:rPr>
          <w:sz w:val="24"/>
          <w:szCs w:val="24"/>
        </w:rPr>
      </w:pPr>
    </w:p>
    <w:p w14:paraId="017A912D" w14:textId="77777777" w:rsidR="00C27B5B" w:rsidRPr="00AC1D22" w:rsidRDefault="00C27B5B" w:rsidP="00C27B5B">
      <w:pPr>
        <w:jc w:val="both"/>
        <w:rPr>
          <w:sz w:val="24"/>
          <w:szCs w:val="24"/>
        </w:rPr>
      </w:pPr>
      <w:r w:rsidRPr="00AC1D22">
        <w:rPr>
          <w:sz w:val="24"/>
          <w:szCs w:val="24"/>
        </w:rPr>
        <w:t>The above agenda schedule represents an estimate of the order for the indicated items and is subject to change at any time.  These public meetings are available to all persons regardless of disability.  If you require special assistance to att</w:t>
      </w:r>
      <w:r w:rsidR="001D2DB3" w:rsidRPr="00AC1D22">
        <w:rPr>
          <w:sz w:val="24"/>
          <w:szCs w:val="24"/>
        </w:rPr>
        <w:t>end the meeting, please call 512.398.2383</w:t>
      </w:r>
      <w:r w:rsidRPr="00AC1D22">
        <w:rPr>
          <w:sz w:val="24"/>
          <w:szCs w:val="24"/>
        </w:rPr>
        <w:t xml:space="preserve"> at least 24 hours in advance of the meeting to coordinate any special physical access arrangements.</w:t>
      </w:r>
    </w:p>
    <w:p w14:paraId="56201588" w14:textId="77777777" w:rsidR="00C27B5B" w:rsidRPr="00AC1D22" w:rsidRDefault="00C27B5B" w:rsidP="00C27B5B">
      <w:pPr>
        <w:widowControl w:val="0"/>
        <w:jc w:val="both"/>
        <w:rPr>
          <w:snapToGrid w:val="0"/>
          <w:sz w:val="24"/>
          <w:szCs w:val="24"/>
        </w:rPr>
      </w:pPr>
    </w:p>
    <w:p w14:paraId="27E6E65D" w14:textId="77777777" w:rsidR="00C27B5B" w:rsidRPr="00AC1D22" w:rsidRDefault="00C27B5B" w:rsidP="00C27B5B">
      <w:pPr>
        <w:jc w:val="both"/>
        <w:rPr>
          <w:sz w:val="24"/>
          <w:szCs w:val="24"/>
        </w:rPr>
      </w:pPr>
      <w:r w:rsidRPr="00AC1D22">
        <w:rPr>
          <w:sz w:val="24"/>
          <w:szCs w:val="24"/>
        </w:rPr>
        <w:t>At any time during the meeting and in compliance with the Texas Open Meetings Act, Chapter 551, Government Code, Vernon’s Texas Codes, Annota</w:t>
      </w:r>
      <w:r w:rsidR="001D2DB3" w:rsidRPr="00AC1D22">
        <w:rPr>
          <w:sz w:val="24"/>
          <w:szCs w:val="24"/>
        </w:rPr>
        <w:t>ted, the Plum Creek Conservation</w:t>
      </w:r>
      <w:r w:rsidRPr="00AC1D22">
        <w:rPr>
          <w:sz w:val="24"/>
          <w:szCs w:val="24"/>
        </w:rPr>
        <w:t xml:space="preserve"> may meet in executive session on any of the above agenda items or other lawful items for consultation concerning attorney-client matters (§ 551.071); deliberation regarding real property (§ 551.072); deliberation regarding prospective gift (§ 551.073); personnel matters (§ 551.074); and deliberation regarding security devices (§ 551.076).  Any subject discussed in executive session may be subject to action during an open meeting.</w:t>
      </w:r>
    </w:p>
    <w:p w14:paraId="60204890" w14:textId="77777777" w:rsidR="00C27B5B" w:rsidRPr="00AC1D22" w:rsidRDefault="00C27B5B" w:rsidP="00C27B5B">
      <w:pPr>
        <w:widowControl w:val="0"/>
        <w:ind w:left="720"/>
        <w:jc w:val="both"/>
        <w:rPr>
          <w:sz w:val="24"/>
          <w:szCs w:val="24"/>
        </w:rPr>
      </w:pPr>
    </w:p>
    <w:p w14:paraId="518CA0CA" w14:textId="77777777" w:rsidR="00C27B5B" w:rsidRPr="00AC1D22" w:rsidRDefault="00C27B5B" w:rsidP="00C27B5B">
      <w:pPr>
        <w:widowControl w:val="0"/>
        <w:rPr>
          <w:b/>
          <w:snapToGrid w:val="0"/>
          <w:sz w:val="24"/>
          <w:szCs w:val="24"/>
        </w:rPr>
      </w:pPr>
    </w:p>
    <w:p w14:paraId="1B01557A" w14:textId="77777777" w:rsidR="00C27B5B" w:rsidRPr="00AC1D22" w:rsidRDefault="00C27B5B" w:rsidP="00C27B5B">
      <w:pPr>
        <w:widowControl w:val="0"/>
        <w:rPr>
          <w:b/>
          <w:snapToGrid w:val="0"/>
          <w:sz w:val="24"/>
          <w:szCs w:val="24"/>
        </w:rPr>
      </w:pPr>
    </w:p>
    <w:p w14:paraId="1D38F8F9" w14:textId="77777777" w:rsidR="00C27B5B" w:rsidRPr="00AC1D22" w:rsidRDefault="00C27B5B" w:rsidP="00C27B5B">
      <w:pPr>
        <w:widowControl w:val="0"/>
        <w:rPr>
          <w:b/>
          <w:snapToGrid w:val="0"/>
          <w:sz w:val="24"/>
          <w:szCs w:val="24"/>
        </w:rPr>
      </w:pPr>
    </w:p>
    <w:p w14:paraId="2DB41F28" w14:textId="77777777" w:rsidR="00C27B5B" w:rsidRPr="00AC1D22" w:rsidRDefault="00C27B5B" w:rsidP="00C27B5B">
      <w:pPr>
        <w:widowControl w:val="0"/>
        <w:rPr>
          <w:b/>
          <w:snapToGrid w:val="0"/>
          <w:sz w:val="24"/>
          <w:szCs w:val="24"/>
        </w:rPr>
      </w:pPr>
    </w:p>
    <w:p w14:paraId="721C0BEF" w14:textId="3FA75163" w:rsidR="00C27B5B" w:rsidRPr="00AC1D22" w:rsidRDefault="001D2DB3" w:rsidP="00C27B5B">
      <w:pPr>
        <w:widowControl w:val="0"/>
        <w:rPr>
          <w:snapToGrid w:val="0"/>
          <w:sz w:val="24"/>
          <w:szCs w:val="24"/>
        </w:rPr>
      </w:pPr>
      <w:r w:rsidRPr="00AC1D22">
        <w:rPr>
          <w:b/>
          <w:snapToGrid w:val="0"/>
          <w:sz w:val="24"/>
          <w:szCs w:val="24"/>
        </w:rPr>
        <w:t xml:space="preserve">POSTED THIS THE </w:t>
      </w:r>
      <w:r w:rsidR="00E45751">
        <w:rPr>
          <w:b/>
          <w:snapToGrid w:val="0"/>
          <w:sz w:val="24"/>
          <w:szCs w:val="24"/>
        </w:rPr>
        <w:t>1</w:t>
      </w:r>
      <w:r w:rsidR="00E45751" w:rsidRPr="00E45751">
        <w:rPr>
          <w:b/>
          <w:snapToGrid w:val="0"/>
          <w:sz w:val="24"/>
          <w:szCs w:val="24"/>
          <w:vertAlign w:val="superscript"/>
        </w:rPr>
        <w:t>ST</w:t>
      </w:r>
      <w:r w:rsidR="00A25C61" w:rsidRPr="00AC1D22">
        <w:rPr>
          <w:b/>
          <w:snapToGrid w:val="0"/>
          <w:sz w:val="24"/>
          <w:szCs w:val="24"/>
        </w:rPr>
        <w:t xml:space="preserve"> </w:t>
      </w:r>
      <w:r w:rsidRPr="00AC1D22">
        <w:rPr>
          <w:b/>
          <w:snapToGrid w:val="0"/>
          <w:sz w:val="24"/>
          <w:szCs w:val="24"/>
        </w:rPr>
        <w:t xml:space="preserve">DAY OF </w:t>
      </w:r>
      <w:r w:rsidR="00A25C61" w:rsidRPr="00AC1D22">
        <w:rPr>
          <w:b/>
          <w:snapToGrid w:val="0"/>
          <w:sz w:val="24"/>
          <w:szCs w:val="24"/>
        </w:rPr>
        <w:t xml:space="preserve">JUNE </w:t>
      </w:r>
      <w:r w:rsidR="00C27B5B" w:rsidRPr="00AC1D22">
        <w:rPr>
          <w:b/>
          <w:snapToGrid w:val="0"/>
          <w:sz w:val="24"/>
          <w:szCs w:val="24"/>
        </w:rPr>
        <w:t>20</w:t>
      </w:r>
      <w:r w:rsidR="00A25C61" w:rsidRPr="00AC1D22">
        <w:rPr>
          <w:b/>
          <w:snapToGrid w:val="0"/>
          <w:sz w:val="24"/>
          <w:szCs w:val="24"/>
        </w:rPr>
        <w:t>22</w:t>
      </w:r>
      <w:r w:rsidR="00C27B5B" w:rsidRPr="00AC1D22">
        <w:rPr>
          <w:b/>
          <w:snapToGrid w:val="0"/>
          <w:sz w:val="24"/>
          <w:szCs w:val="24"/>
        </w:rPr>
        <w:t xml:space="preserve"> AT _____ O’CLOCK by ______________.</w:t>
      </w:r>
    </w:p>
    <w:p w14:paraId="3902B7D3" w14:textId="77777777" w:rsidR="00F2513E" w:rsidRPr="00AC1D22" w:rsidRDefault="006A0D46" w:rsidP="00C27B5B">
      <w:pPr>
        <w:spacing w:after="200" w:line="276" w:lineRule="auto"/>
        <w:rPr>
          <w:snapToGrid w:val="0"/>
          <w:sz w:val="24"/>
          <w:szCs w:val="24"/>
        </w:rPr>
      </w:pPr>
    </w:p>
    <w:sectPr w:rsidR="00F2513E" w:rsidRPr="00AC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61B0"/>
    <w:multiLevelType w:val="hybridMultilevel"/>
    <w:tmpl w:val="8572FCC0"/>
    <w:lvl w:ilvl="0" w:tplc="A73C36BE">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 w15:restartNumberingAfterBreak="0">
    <w:nsid w:val="2AF41D99"/>
    <w:multiLevelType w:val="hybridMultilevel"/>
    <w:tmpl w:val="3AC045B2"/>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Courier New" w:hint="default"/>
      </w:rPr>
    </w:lvl>
    <w:lvl w:ilvl="5" w:tplc="04090005">
      <w:start w:val="1"/>
      <w:numFmt w:val="bullet"/>
      <w:lvlText w:val=""/>
      <w:lvlJc w:val="left"/>
      <w:pPr>
        <w:ind w:left="5047" w:hanging="360"/>
      </w:pPr>
      <w:rPr>
        <w:rFonts w:ascii="Wingdings" w:hAnsi="Wingdings" w:hint="default"/>
      </w:rPr>
    </w:lvl>
    <w:lvl w:ilvl="6" w:tplc="04090001">
      <w:start w:val="1"/>
      <w:numFmt w:val="bullet"/>
      <w:lvlText w:val=""/>
      <w:lvlJc w:val="left"/>
      <w:pPr>
        <w:ind w:left="5767" w:hanging="360"/>
      </w:pPr>
      <w:rPr>
        <w:rFonts w:ascii="Symbol" w:hAnsi="Symbol"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hint="default"/>
      </w:rPr>
    </w:lvl>
  </w:abstractNum>
  <w:abstractNum w:abstractNumId="2" w15:restartNumberingAfterBreak="0">
    <w:nsid w:val="317E6C2B"/>
    <w:multiLevelType w:val="hybridMultilevel"/>
    <w:tmpl w:val="0FB25B1C"/>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3" w15:restartNumberingAfterBreak="0">
    <w:nsid w:val="380F50CD"/>
    <w:multiLevelType w:val="hybridMultilevel"/>
    <w:tmpl w:val="2C46D8F4"/>
    <w:lvl w:ilvl="0" w:tplc="A5206C20">
      <w:start w:val="1"/>
      <w:numFmt w:val="bullet"/>
      <w:lvlText w:val="•"/>
      <w:lvlJc w:val="left"/>
      <w:pPr>
        <w:ind w:left="1066" w:hanging="346"/>
      </w:pPr>
      <w:rPr>
        <w:rFonts w:ascii="Times New Roman" w:eastAsia="Times New Roman" w:hAnsi="Times New Roman" w:cs="Times New Roman" w:hint="default"/>
        <w:w w:val="150"/>
        <w:sz w:val="23"/>
        <w:szCs w:val="23"/>
      </w:rPr>
    </w:lvl>
    <w:lvl w:ilvl="1" w:tplc="7E144240">
      <w:start w:val="1"/>
      <w:numFmt w:val="bullet"/>
      <w:lvlText w:val="•"/>
      <w:lvlJc w:val="left"/>
      <w:pPr>
        <w:ind w:left="2067" w:hanging="346"/>
      </w:pPr>
    </w:lvl>
    <w:lvl w:ilvl="2" w:tplc="F6E67246">
      <w:start w:val="1"/>
      <w:numFmt w:val="bullet"/>
      <w:lvlText w:val="•"/>
      <w:lvlJc w:val="left"/>
      <w:pPr>
        <w:ind w:left="3075" w:hanging="346"/>
      </w:pPr>
    </w:lvl>
    <w:lvl w:ilvl="3" w:tplc="7F1A88F0">
      <w:start w:val="1"/>
      <w:numFmt w:val="bullet"/>
      <w:lvlText w:val="•"/>
      <w:lvlJc w:val="left"/>
      <w:pPr>
        <w:ind w:left="4083" w:hanging="346"/>
      </w:pPr>
    </w:lvl>
    <w:lvl w:ilvl="4" w:tplc="E0C2244C">
      <w:start w:val="1"/>
      <w:numFmt w:val="bullet"/>
      <w:lvlText w:val="•"/>
      <w:lvlJc w:val="left"/>
      <w:pPr>
        <w:ind w:left="5091" w:hanging="346"/>
      </w:pPr>
    </w:lvl>
    <w:lvl w:ilvl="5" w:tplc="D160EB84">
      <w:start w:val="1"/>
      <w:numFmt w:val="bullet"/>
      <w:lvlText w:val="•"/>
      <w:lvlJc w:val="left"/>
      <w:pPr>
        <w:ind w:left="6099" w:hanging="346"/>
      </w:pPr>
    </w:lvl>
    <w:lvl w:ilvl="6" w:tplc="DC66C076">
      <w:start w:val="1"/>
      <w:numFmt w:val="bullet"/>
      <w:lvlText w:val="•"/>
      <w:lvlJc w:val="left"/>
      <w:pPr>
        <w:ind w:left="7107" w:hanging="346"/>
      </w:pPr>
    </w:lvl>
    <w:lvl w:ilvl="7" w:tplc="029A0CCA">
      <w:start w:val="1"/>
      <w:numFmt w:val="bullet"/>
      <w:lvlText w:val="•"/>
      <w:lvlJc w:val="left"/>
      <w:pPr>
        <w:ind w:left="8115" w:hanging="346"/>
      </w:pPr>
    </w:lvl>
    <w:lvl w:ilvl="8" w:tplc="06761638">
      <w:start w:val="1"/>
      <w:numFmt w:val="bullet"/>
      <w:lvlText w:val="•"/>
      <w:lvlJc w:val="left"/>
      <w:pPr>
        <w:ind w:left="9123" w:hanging="346"/>
      </w:pPr>
    </w:lvl>
  </w:abstractNum>
  <w:abstractNum w:abstractNumId="4" w15:restartNumberingAfterBreak="0">
    <w:nsid w:val="776E1972"/>
    <w:multiLevelType w:val="hybridMultilevel"/>
    <w:tmpl w:val="DF74E9D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7F3015B8"/>
    <w:multiLevelType w:val="hybridMultilevel"/>
    <w:tmpl w:val="553C4038"/>
    <w:lvl w:ilvl="0" w:tplc="0409000F">
      <w:start w:val="1"/>
      <w:numFmt w:val="decimal"/>
      <w:lvlText w:val="%1."/>
      <w:lvlJc w:val="left"/>
      <w:pPr>
        <w:ind w:left="727" w:hanging="360"/>
      </w:p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num w:numId="1" w16cid:durableId="4617317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2173694">
    <w:abstractNumId w:val="3"/>
  </w:num>
  <w:num w:numId="3" w16cid:durableId="449934356">
    <w:abstractNumId w:val="2"/>
  </w:num>
  <w:num w:numId="4" w16cid:durableId="2075615115">
    <w:abstractNumId w:val="1"/>
  </w:num>
  <w:num w:numId="5" w16cid:durableId="1873834335">
    <w:abstractNumId w:val="3"/>
  </w:num>
  <w:num w:numId="6" w16cid:durableId="505368603">
    <w:abstractNumId w:val="0"/>
  </w:num>
  <w:num w:numId="7" w16cid:durableId="1960141722">
    <w:abstractNumId w:val="1"/>
  </w:num>
  <w:num w:numId="8" w16cid:durableId="857735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5B"/>
    <w:rsid w:val="000D1E2E"/>
    <w:rsid w:val="001B2C44"/>
    <w:rsid w:val="001C7E3B"/>
    <w:rsid w:val="001D2DB3"/>
    <w:rsid w:val="002352DC"/>
    <w:rsid w:val="00304370"/>
    <w:rsid w:val="004667A1"/>
    <w:rsid w:val="006A0D46"/>
    <w:rsid w:val="0094512C"/>
    <w:rsid w:val="0097612D"/>
    <w:rsid w:val="009F6B27"/>
    <w:rsid w:val="00A25C61"/>
    <w:rsid w:val="00AC1D22"/>
    <w:rsid w:val="00B96C29"/>
    <w:rsid w:val="00BA7F44"/>
    <w:rsid w:val="00BD6001"/>
    <w:rsid w:val="00C27B5B"/>
    <w:rsid w:val="00DE6469"/>
    <w:rsid w:val="00E45751"/>
    <w:rsid w:val="00F9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72AF"/>
  <w15:docId w15:val="{CFA9CDBB-1D9A-4B3D-A5AE-B5FA9278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B5B"/>
    <w:rPr>
      <w:color w:val="0000FF" w:themeColor="hyperlink"/>
      <w:u w:val="single"/>
    </w:rPr>
  </w:style>
  <w:style w:type="paragraph" w:styleId="BodyText">
    <w:name w:val="Body Text"/>
    <w:basedOn w:val="Normal"/>
    <w:link w:val="BodyTextChar"/>
    <w:uiPriority w:val="1"/>
    <w:unhideWhenUsed/>
    <w:qFormat/>
    <w:rsid w:val="00C27B5B"/>
    <w:pPr>
      <w:widowControl w:val="0"/>
    </w:pPr>
    <w:rPr>
      <w:sz w:val="24"/>
      <w:szCs w:val="24"/>
    </w:rPr>
  </w:style>
  <w:style w:type="character" w:customStyle="1" w:styleId="BodyTextChar">
    <w:name w:val="Body Text Char"/>
    <w:basedOn w:val="DefaultParagraphFont"/>
    <w:link w:val="BodyText"/>
    <w:uiPriority w:val="1"/>
    <w:rsid w:val="00C27B5B"/>
    <w:rPr>
      <w:rFonts w:ascii="Times New Roman" w:eastAsia="Times New Roman" w:hAnsi="Times New Roman" w:cs="Times New Roman"/>
      <w:sz w:val="24"/>
      <w:szCs w:val="24"/>
    </w:rPr>
  </w:style>
  <w:style w:type="paragraph" w:styleId="ListParagraph">
    <w:name w:val="List Paragraph"/>
    <w:basedOn w:val="Normal"/>
    <w:uiPriority w:val="1"/>
    <w:qFormat/>
    <w:rsid w:val="00C27B5B"/>
    <w:pPr>
      <w:ind w:left="720"/>
      <w:contextualSpacing/>
    </w:pPr>
  </w:style>
  <w:style w:type="character" w:styleId="UnresolvedMention">
    <w:name w:val="Unresolved Mention"/>
    <w:basedOn w:val="DefaultParagraphFont"/>
    <w:uiPriority w:val="99"/>
    <w:semiHidden/>
    <w:unhideWhenUsed/>
    <w:rsid w:val="00A25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8109">
      <w:bodyDiv w:val="1"/>
      <w:marLeft w:val="0"/>
      <w:marRight w:val="0"/>
      <w:marTop w:val="0"/>
      <w:marBottom w:val="0"/>
      <w:divBdr>
        <w:top w:val="none" w:sz="0" w:space="0" w:color="auto"/>
        <w:left w:val="none" w:sz="0" w:space="0" w:color="auto"/>
        <w:bottom w:val="none" w:sz="0" w:space="0" w:color="auto"/>
        <w:right w:val="none" w:sz="0" w:space="0" w:color="auto"/>
      </w:divBdr>
    </w:div>
    <w:div w:id="494028349">
      <w:bodyDiv w:val="1"/>
      <w:marLeft w:val="0"/>
      <w:marRight w:val="0"/>
      <w:marTop w:val="0"/>
      <w:marBottom w:val="0"/>
      <w:divBdr>
        <w:top w:val="none" w:sz="0" w:space="0" w:color="auto"/>
        <w:left w:val="none" w:sz="0" w:space="0" w:color="auto"/>
        <w:bottom w:val="none" w:sz="0" w:space="0" w:color="auto"/>
        <w:right w:val="none" w:sz="0" w:space="0" w:color="auto"/>
      </w:divBdr>
    </w:div>
    <w:div w:id="1127966354">
      <w:bodyDiv w:val="1"/>
      <w:marLeft w:val="0"/>
      <w:marRight w:val="0"/>
      <w:marTop w:val="0"/>
      <w:marBottom w:val="0"/>
      <w:divBdr>
        <w:top w:val="none" w:sz="0" w:space="0" w:color="auto"/>
        <w:left w:val="none" w:sz="0" w:space="0" w:color="auto"/>
        <w:bottom w:val="none" w:sz="0" w:space="0" w:color="auto"/>
        <w:right w:val="none" w:sz="0" w:space="0" w:color="auto"/>
      </w:divBdr>
    </w:div>
    <w:div w:id="15865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meyer@pcc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Sengelmann</dc:creator>
  <cp:lastModifiedBy>Daniel Meyer</cp:lastModifiedBy>
  <cp:revision>7</cp:revision>
  <cp:lastPrinted>2022-06-01T19:40:00Z</cp:lastPrinted>
  <dcterms:created xsi:type="dcterms:W3CDTF">2022-06-01T19:14:00Z</dcterms:created>
  <dcterms:modified xsi:type="dcterms:W3CDTF">2022-06-01T19:45:00Z</dcterms:modified>
</cp:coreProperties>
</file>